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张伟艳</w:t>
      </w:r>
      <w:r>
        <w:rPr>
          <w:rFonts w:hint="eastAsia"/>
          <w:sz w:val="15"/>
          <w:szCs w:val="15"/>
          <w:highlight w:val="none"/>
        </w:rPr>
        <w:t>，</w:t>
      </w:r>
      <w:r>
        <w:rPr>
          <w:rFonts w:hint="eastAsia"/>
          <w:sz w:val="15"/>
          <w:szCs w:val="15"/>
          <w:highlight w:val="none"/>
          <w:lang w:val="en-US" w:eastAsia="zh-CN"/>
        </w:rPr>
        <w:t>13013119871111422X</w:t>
      </w:r>
      <w:r>
        <w:rPr>
          <w:rFonts w:hint="eastAsia"/>
          <w:sz w:val="15"/>
          <w:szCs w:val="15"/>
        </w:rPr>
        <w:t xml:space="preserve">  </w:t>
      </w:r>
      <w:r>
        <w:rPr>
          <w:rFonts w:hint="eastAsia"/>
          <w:sz w:val="15"/>
          <w:szCs w:val="15"/>
          <w:lang w:val="en-US" w:eastAsia="zh-CN"/>
        </w:rPr>
        <w:t>冀A96642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