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闫晓超</w:t>
      </w:r>
      <w:r>
        <w:rPr>
          <w:rFonts w:hint="eastAsia"/>
          <w:sz w:val="15"/>
          <w:szCs w:val="15"/>
          <w:highlight w:val="none"/>
        </w:rPr>
        <w:t>，</w:t>
      </w:r>
      <w:r>
        <w:rPr>
          <w:rFonts w:hint="eastAsia"/>
          <w:sz w:val="15"/>
          <w:szCs w:val="15"/>
          <w:highlight w:val="none"/>
          <w:lang w:val="en-US" w:eastAsia="zh-CN"/>
        </w:rPr>
        <w:t>130131198704064519</w:t>
      </w:r>
      <w:r>
        <w:rPr>
          <w:rFonts w:hint="eastAsia"/>
          <w:sz w:val="15"/>
          <w:szCs w:val="15"/>
        </w:rPr>
        <w:t xml:space="preserve">  </w:t>
      </w:r>
      <w:r>
        <w:rPr>
          <w:rFonts w:hint="eastAsia"/>
          <w:sz w:val="15"/>
          <w:szCs w:val="15"/>
          <w:lang w:val="en-US" w:eastAsia="zh-CN"/>
        </w:rPr>
        <w:t>冀A99C89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