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盖东杰</w:t>
      </w:r>
      <w:r>
        <w:rPr>
          <w:rFonts w:hint="eastAsia"/>
          <w:sz w:val="15"/>
          <w:szCs w:val="15"/>
          <w:highlight w:val="none"/>
        </w:rPr>
        <w:t>，</w:t>
      </w:r>
      <w:r>
        <w:rPr>
          <w:rFonts w:hint="eastAsia"/>
          <w:sz w:val="15"/>
          <w:szCs w:val="15"/>
          <w:highlight w:val="none"/>
          <w:lang w:val="en-US" w:eastAsia="zh-CN"/>
        </w:rPr>
        <w:t>13013119870323001X</w:t>
      </w:r>
      <w:r>
        <w:rPr>
          <w:rFonts w:hint="eastAsia"/>
          <w:sz w:val="15"/>
          <w:szCs w:val="15"/>
        </w:rPr>
        <w:t xml:space="preserve">  </w:t>
      </w:r>
      <w:r>
        <w:rPr>
          <w:rFonts w:hint="eastAsia"/>
          <w:sz w:val="15"/>
          <w:szCs w:val="15"/>
          <w:lang w:val="en-US" w:eastAsia="zh-CN"/>
        </w:rPr>
        <w:t>冀AH4288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