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苏登科</w:t>
      </w:r>
      <w:r>
        <w:rPr>
          <w:rFonts w:hint="eastAsia"/>
          <w:sz w:val="15"/>
          <w:szCs w:val="15"/>
          <w:highlight w:val="none"/>
        </w:rPr>
        <w:t>，</w:t>
      </w:r>
      <w:r>
        <w:rPr>
          <w:rFonts w:hint="eastAsia"/>
          <w:sz w:val="15"/>
          <w:szCs w:val="15"/>
          <w:highlight w:val="none"/>
          <w:lang w:val="en-US" w:eastAsia="zh-CN"/>
        </w:rPr>
        <w:t>130131198611160632</w:t>
      </w:r>
      <w:r>
        <w:rPr>
          <w:rFonts w:hint="eastAsia"/>
          <w:sz w:val="15"/>
          <w:szCs w:val="15"/>
        </w:rPr>
        <w:t xml:space="preserve">  </w:t>
      </w:r>
      <w:r>
        <w:rPr>
          <w:rFonts w:hint="eastAsia"/>
          <w:sz w:val="15"/>
          <w:szCs w:val="15"/>
          <w:lang w:val="en-US" w:eastAsia="zh-CN"/>
        </w:rPr>
        <w:t>冀A630SF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