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高阳</w:t>
      </w:r>
      <w:r>
        <w:rPr>
          <w:rFonts w:hint="eastAsia"/>
          <w:sz w:val="15"/>
          <w:szCs w:val="15"/>
          <w:highlight w:val="none"/>
        </w:rPr>
        <w:t>，</w:t>
      </w:r>
      <w:r>
        <w:rPr>
          <w:rFonts w:hint="eastAsia"/>
          <w:sz w:val="15"/>
          <w:szCs w:val="15"/>
          <w:highlight w:val="none"/>
          <w:lang w:val="en-US" w:eastAsia="zh-CN"/>
        </w:rPr>
        <w:t>130131198610261538</w:t>
      </w:r>
      <w:r>
        <w:rPr>
          <w:rFonts w:hint="eastAsia"/>
          <w:sz w:val="15"/>
          <w:szCs w:val="15"/>
        </w:rPr>
        <w:t xml:space="preserve">  </w:t>
      </w:r>
      <w:r>
        <w:rPr>
          <w:rFonts w:hint="eastAsia"/>
          <w:sz w:val="15"/>
          <w:szCs w:val="15"/>
          <w:lang w:val="en-US" w:eastAsia="zh-CN"/>
        </w:rPr>
        <w:t>冀A9788Z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