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王江波</w:t>
      </w:r>
      <w:r>
        <w:rPr>
          <w:rFonts w:hint="eastAsia"/>
          <w:sz w:val="15"/>
          <w:szCs w:val="15"/>
          <w:highlight w:val="none"/>
        </w:rPr>
        <w:t>，</w:t>
      </w:r>
      <w:r>
        <w:rPr>
          <w:rFonts w:hint="eastAsia"/>
          <w:sz w:val="15"/>
          <w:szCs w:val="15"/>
          <w:highlight w:val="none"/>
          <w:lang w:val="en-US" w:eastAsia="zh-CN"/>
        </w:rPr>
        <w:t>130131198605123333</w:t>
      </w:r>
      <w:r>
        <w:rPr>
          <w:rFonts w:hint="eastAsia"/>
          <w:sz w:val="15"/>
          <w:szCs w:val="15"/>
        </w:rPr>
        <w:t xml:space="preserve">  </w:t>
      </w:r>
      <w:r>
        <w:rPr>
          <w:rFonts w:hint="eastAsia"/>
          <w:sz w:val="15"/>
          <w:szCs w:val="15"/>
          <w:lang w:val="en-US" w:eastAsia="zh-CN"/>
        </w:rPr>
        <w:t>沪A93288D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