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赵喜龙</w:t>
      </w:r>
      <w:r>
        <w:rPr>
          <w:rFonts w:hint="eastAsia"/>
          <w:sz w:val="15"/>
          <w:szCs w:val="15"/>
          <w:highlight w:val="none"/>
        </w:rPr>
        <w:t>，</w:t>
      </w:r>
      <w:r>
        <w:rPr>
          <w:rFonts w:hint="eastAsia"/>
          <w:sz w:val="15"/>
          <w:szCs w:val="15"/>
          <w:highlight w:val="none"/>
          <w:lang w:val="en-US" w:eastAsia="zh-CN"/>
        </w:rPr>
        <w:t>130131198605015412</w:t>
      </w:r>
      <w:r>
        <w:rPr>
          <w:rFonts w:hint="eastAsia"/>
          <w:sz w:val="15"/>
          <w:szCs w:val="15"/>
        </w:rPr>
        <w:t xml:space="preserve">  </w:t>
      </w:r>
      <w:r>
        <w:rPr>
          <w:rFonts w:hint="eastAsia"/>
          <w:sz w:val="15"/>
          <w:szCs w:val="15"/>
          <w:lang w:val="en-US" w:eastAsia="zh-CN"/>
        </w:rPr>
        <w:t>冀A00867D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