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李飞</w:t>
      </w:r>
      <w:r>
        <w:rPr>
          <w:rFonts w:hint="eastAsia"/>
          <w:sz w:val="15"/>
          <w:szCs w:val="15"/>
          <w:highlight w:val="none"/>
        </w:rPr>
        <w:t>，</w:t>
      </w:r>
      <w:r>
        <w:rPr>
          <w:rFonts w:hint="eastAsia"/>
          <w:sz w:val="15"/>
          <w:szCs w:val="15"/>
          <w:highlight w:val="none"/>
          <w:lang w:val="en-US" w:eastAsia="zh-CN"/>
        </w:rPr>
        <w:t>130131198604103939</w:t>
      </w:r>
      <w:r>
        <w:rPr>
          <w:rFonts w:hint="eastAsia"/>
          <w:sz w:val="15"/>
          <w:szCs w:val="15"/>
        </w:rPr>
        <w:t xml:space="preserve">  </w:t>
      </w:r>
      <w:r>
        <w:rPr>
          <w:rFonts w:hint="eastAsia"/>
          <w:sz w:val="15"/>
          <w:szCs w:val="15"/>
          <w:lang w:val="en-US" w:eastAsia="zh-CN"/>
        </w:rPr>
        <w:t>冀A041LD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