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尚新龙</w:t>
      </w:r>
      <w:r>
        <w:rPr>
          <w:rFonts w:hint="eastAsia"/>
          <w:sz w:val="15"/>
          <w:szCs w:val="15"/>
          <w:highlight w:val="none"/>
        </w:rPr>
        <w:t>，</w:t>
      </w:r>
      <w:r>
        <w:rPr>
          <w:rFonts w:hint="eastAsia"/>
          <w:sz w:val="15"/>
          <w:szCs w:val="15"/>
          <w:highlight w:val="none"/>
          <w:lang w:val="en-US" w:eastAsia="zh-CN"/>
        </w:rPr>
        <w:t>130131198601161519</w:t>
      </w:r>
      <w:r>
        <w:rPr>
          <w:rFonts w:hint="eastAsia"/>
          <w:sz w:val="15"/>
          <w:szCs w:val="15"/>
        </w:rPr>
        <w:t xml:space="preserve">  </w:t>
      </w:r>
      <w:r>
        <w:rPr>
          <w:rFonts w:hint="eastAsia"/>
          <w:sz w:val="15"/>
          <w:szCs w:val="15"/>
          <w:lang w:val="en-US" w:eastAsia="zh-CN"/>
        </w:rPr>
        <w:t>冀A74V36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