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康志科</w:t>
      </w:r>
      <w:r>
        <w:rPr>
          <w:rFonts w:hint="eastAsia"/>
          <w:sz w:val="15"/>
          <w:szCs w:val="15"/>
          <w:highlight w:val="none"/>
        </w:rPr>
        <w:t>，</w:t>
      </w:r>
      <w:r>
        <w:rPr>
          <w:rFonts w:hint="eastAsia"/>
          <w:sz w:val="15"/>
          <w:szCs w:val="15"/>
          <w:highlight w:val="none"/>
          <w:lang w:val="en-US" w:eastAsia="zh-CN"/>
        </w:rPr>
        <w:t>130131198505254213</w:t>
      </w:r>
      <w:r>
        <w:rPr>
          <w:rFonts w:hint="eastAsia"/>
          <w:sz w:val="15"/>
          <w:szCs w:val="15"/>
        </w:rPr>
        <w:t xml:space="preserve">  </w:t>
      </w:r>
      <w:r>
        <w:rPr>
          <w:rFonts w:hint="eastAsia"/>
          <w:sz w:val="15"/>
          <w:szCs w:val="15"/>
          <w:lang w:val="en-US" w:eastAsia="zh-CN"/>
        </w:rPr>
        <w:t>冀AD3208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