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赵春江</w:t>
      </w:r>
      <w:r>
        <w:rPr>
          <w:rFonts w:hint="eastAsia"/>
          <w:sz w:val="15"/>
          <w:szCs w:val="15"/>
          <w:highlight w:val="none"/>
        </w:rPr>
        <w:t>，</w:t>
      </w:r>
      <w:r>
        <w:rPr>
          <w:rFonts w:hint="eastAsia"/>
          <w:sz w:val="15"/>
          <w:szCs w:val="15"/>
          <w:highlight w:val="none"/>
          <w:lang w:val="en-US" w:eastAsia="zh-CN"/>
        </w:rPr>
        <w:t>130131198502014556</w:t>
      </w:r>
      <w:r>
        <w:rPr>
          <w:rFonts w:hint="eastAsia"/>
          <w:sz w:val="15"/>
          <w:szCs w:val="15"/>
        </w:rPr>
        <w:t xml:space="preserve">  </w:t>
      </w:r>
      <w:r>
        <w:rPr>
          <w:rFonts w:hint="eastAsia"/>
          <w:sz w:val="15"/>
          <w:szCs w:val="15"/>
          <w:lang w:val="en-US" w:eastAsia="zh-CN"/>
        </w:rPr>
        <w:t>冀A5383W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