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张二龙</w:t>
      </w:r>
      <w:r>
        <w:rPr>
          <w:rFonts w:hint="eastAsia"/>
          <w:sz w:val="15"/>
          <w:szCs w:val="15"/>
          <w:highlight w:val="none"/>
        </w:rPr>
        <w:t>，</w:t>
      </w:r>
      <w:r>
        <w:rPr>
          <w:rFonts w:hint="eastAsia"/>
          <w:sz w:val="15"/>
          <w:szCs w:val="15"/>
          <w:highlight w:val="none"/>
          <w:lang w:val="en-US" w:eastAsia="zh-CN"/>
        </w:rPr>
        <w:t>130131198412041518</w:t>
      </w:r>
      <w:r>
        <w:rPr>
          <w:rFonts w:hint="eastAsia"/>
          <w:sz w:val="15"/>
          <w:szCs w:val="15"/>
        </w:rPr>
        <w:t xml:space="preserve">  </w:t>
      </w:r>
      <w:r>
        <w:rPr>
          <w:rFonts w:hint="eastAsia"/>
          <w:sz w:val="15"/>
          <w:szCs w:val="15"/>
          <w:lang w:val="en-US" w:eastAsia="zh-CN"/>
        </w:rPr>
        <w:t>冀A4143Z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