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王静</w:t>
      </w:r>
      <w:r>
        <w:rPr>
          <w:rFonts w:hint="eastAsia"/>
          <w:sz w:val="15"/>
          <w:szCs w:val="15"/>
          <w:highlight w:val="none"/>
        </w:rPr>
        <w:t>，</w:t>
      </w:r>
      <w:r>
        <w:rPr>
          <w:rFonts w:hint="eastAsia"/>
          <w:sz w:val="15"/>
          <w:szCs w:val="15"/>
          <w:highlight w:val="none"/>
          <w:lang w:val="en-US" w:eastAsia="zh-CN"/>
        </w:rPr>
        <w:t>130131198411100643</w:t>
      </w:r>
      <w:r>
        <w:rPr>
          <w:rFonts w:hint="eastAsia"/>
          <w:sz w:val="15"/>
          <w:szCs w:val="15"/>
        </w:rPr>
        <w:t xml:space="preserve">  </w:t>
      </w:r>
      <w:r>
        <w:rPr>
          <w:rFonts w:hint="eastAsia"/>
          <w:sz w:val="15"/>
          <w:szCs w:val="15"/>
          <w:lang w:val="en-US" w:eastAsia="zh-CN"/>
        </w:rPr>
        <w:t>冀ATF112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