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康江江</w:t>
      </w:r>
      <w:r>
        <w:rPr>
          <w:rFonts w:hint="eastAsia"/>
          <w:sz w:val="15"/>
          <w:szCs w:val="15"/>
          <w:highlight w:val="none"/>
        </w:rPr>
        <w:t>，</w:t>
      </w:r>
      <w:r>
        <w:rPr>
          <w:rFonts w:hint="eastAsia"/>
          <w:sz w:val="15"/>
          <w:szCs w:val="15"/>
          <w:highlight w:val="none"/>
          <w:lang w:val="en-US" w:eastAsia="zh-CN"/>
        </w:rPr>
        <w:t>130131198410254210</w:t>
      </w:r>
      <w:r>
        <w:rPr>
          <w:rFonts w:hint="eastAsia"/>
          <w:sz w:val="15"/>
          <w:szCs w:val="15"/>
        </w:rPr>
        <w:t xml:space="preserve">  </w:t>
      </w:r>
      <w:r>
        <w:rPr>
          <w:rFonts w:hint="eastAsia"/>
          <w:sz w:val="15"/>
          <w:szCs w:val="15"/>
          <w:lang w:val="en-US" w:eastAsia="zh-CN"/>
        </w:rPr>
        <w:t>冀A71536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