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任利强</w:t>
      </w:r>
      <w:r>
        <w:rPr>
          <w:rFonts w:hint="eastAsia"/>
          <w:sz w:val="15"/>
          <w:szCs w:val="15"/>
          <w:highlight w:val="none"/>
        </w:rPr>
        <w:t>，</w:t>
      </w:r>
      <w:r>
        <w:rPr>
          <w:rFonts w:hint="eastAsia"/>
          <w:sz w:val="15"/>
          <w:szCs w:val="15"/>
          <w:highlight w:val="none"/>
          <w:lang w:val="en-US" w:eastAsia="zh-CN"/>
        </w:rPr>
        <w:t>130131198410051210</w:t>
      </w:r>
      <w:r>
        <w:rPr>
          <w:rFonts w:hint="eastAsia"/>
          <w:sz w:val="15"/>
          <w:szCs w:val="15"/>
        </w:rPr>
        <w:t xml:space="preserve">  </w:t>
      </w:r>
      <w:r>
        <w:rPr>
          <w:rFonts w:hint="eastAsia"/>
          <w:sz w:val="15"/>
          <w:szCs w:val="15"/>
          <w:lang w:val="en-US" w:eastAsia="zh-CN"/>
        </w:rPr>
        <w:t>冀AP3429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