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焦佳佳</w:t>
      </w:r>
      <w:r>
        <w:rPr>
          <w:rFonts w:hint="eastAsia"/>
          <w:sz w:val="15"/>
          <w:szCs w:val="15"/>
          <w:highlight w:val="none"/>
        </w:rPr>
        <w:t>，</w:t>
      </w:r>
      <w:r>
        <w:rPr>
          <w:rFonts w:hint="eastAsia"/>
          <w:sz w:val="15"/>
          <w:szCs w:val="15"/>
          <w:highlight w:val="none"/>
          <w:lang w:val="en-US" w:eastAsia="zh-CN"/>
        </w:rPr>
        <w:t>130131198407261831</w:t>
      </w:r>
      <w:r>
        <w:rPr>
          <w:rFonts w:hint="eastAsia"/>
          <w:sz w:val="15"/>
          <w:szCs w:val="15"/>
        </w:rPr>
        <w:t xml:space="preserve">  </w:t>
      </w:r>
      <w:r>
        <w:rPr>
          <w:rFonts w:hint="eastAsia"/>
          <w:sz w:val="15"/>
          <w:szCs w:val="15"/>
          <w:lang w:val="en-US" w:eastAsia="zh-CN"/>
        </w:rPr>
        <w:t>冀AQ6675</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