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李建波</w:t>
      </w:r>
      <w:r>
        <w:rPr>
          <w:rFonts w:hint="eastAsia"/>
          <w:sz w:val="15"/>
          <w:szCs w:val="15"/>
          <w:highlight w:val="none"/>
        </w:rPr>
        <w:t>，</w:t>
      </w:r>
      <w:r>
        <w:rPr>
          <w:rFonts w:hint="eastAsia"/>
          <w:sz w:val="15"/>
          <w:szCs w:val="15"/>
          <w:highlight w:val="none"/>
          <w:lang w:val="en-US" w:eastAsia="zh-CN"/>
        </w:rPr>
        <w:t>130131198407183634</w:t>
      </w:r>
      <w:r>
        <w:rPr>
          <w:rFonts w:hint="eastAsia"/>
          <w:sz w:val="15"/>
          <w:szCs w:val="15"/>
        </w:rPr>
        <w:t xml:space="preserve">  </w:t>
      </w:r>
      <w:r>
        <w:rPr>
          <w:rFonts w:hint="eastAsia"/>
          <w:sz w:val="15"/>
          <w:szCs w:val="15"/>
          <w:lang w:val="en-US" w:eastAsia="zh-CN"/>
        </w:rPr>
        <w:t>冀AW1739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