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李振龙</w:t>
      </w:r>
      <w:r>
        <w:rPr>
          <w:rFonts w:hint="eastAsia"/>
          <w:sz w:val="15"/>
          <w:szCs w:val="15"/>
          <w:highlight w:val="none"/>
        </w:rPr>
        <w:t>，</w:t>
      </w:r>
      <w:r>
        <w:rPr>
          <w:rFonts w:hint="eastAsia"/>
          <w:sz w:val="15"/>
          <w:szCs w:val="15"/>
          <w:highlight w:val="none"/>
          <w:lang w:val="en-US" w:eastAsia="zh-CN"/>
        </w:rPr>
        <w:t>130131198402143916</w:t>
      </w:r>
      <w:r>
        <w:rPr>
          <w:rFonts w:hint="eastAsia"/>
          <w:sz w:val="15"/>
          <w:szCs w:val="15"/>
        </w:rPr>
        <w:t xml:space="preserve">  </w:t>
      </w:r>
      <w:r>
        <w:rPr>
          <w:rFonts w:hint="eastAsia"/>
          <w:sz w:val="15"/>
          <w:szCs w:val="15"/>
          <w:lang w:val="en-US" w:eastAsia="zh-CN"/>
        </w:rPr>
        <w:t>冀ATL305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