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唐伟红</w:t>
      </w:r>
      <w:r>
        <w:rPr>
          <w:rFonts w:hint="eastAsia"/>
          <w:sz w:val="15"/>
          <w:szCs w:val="15"/>
          <w:highlight w:val="none"/>
        </w:rPr>
        <w:t>，</w:t>
      </w:r>
      <w:r>
        <w:rPr>
          <w:rFonts w:hint="eastAsia"/>
          <w:sz w:val="15"/>
          <w:szCs w:val="15"/>
          <w:highlight w:val="none"/>
          <w:lang w:val="en-US" w:eastAsia="zh-CN"/>
        </w:rPr>
        <w:t>130131198312172131</w:t>
      </w:r>
      <w:r>
        <w:rPr>
          <w:rFonts w:hint="eastAsia"/>
          <w:sz w:val="15"/>
          <w:szCs w:val="15"/>
        </w:rPr>
        <w:t xml:space="preserve">  </w:t>
      </w:r>
      <w:r>
        <w:rPr>
          <w:rFonts w:hint="eastAsia"/>
          <w:sz w:val="15"/>
          <w:szCs w:val="15"/>
          <w:lang w:val="en-US" w:eastAsia="zh-CN"/>
        </w:rPr>
        <w:t>冀A753UA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