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封风霞</w:t>
      </w:r>
      <w:r>
        <w:rPr>
          <w:rFonts w:hint="eastAsia"/>
          <w:sz w:val="15"/>
          <w:szCs w:val="15"/>
          <w:highlight w:val="none"/>
        </w:rPr>
        <w:t>，</w:t>
      </w:r>
      <w:r>
        <w:rPr>
          <w:rFonts w:hint="eastAsia"/>
          <w:sz w:val="15"/>
          <w:szCs w:val="15"/>
          <w:highlight w:val="none"/>
          <w:lang w:val="en-US" w:eastAsia="zh-CN"/>
        </w:rPr>
        <w:t>130131198312093927</w:t>
      </w:r>
      <w:r>
        <w:rPr>
          <w:rFonts w:hint="eastAsia"/>
          <w:sz w:val="15"/>
          <w:szCs w:val="15"/>
        </w:rPr>
        <w:t xml:space="preserve">  </w:t>
      </w:r>
      <w:r>
        <w:rPr>
          <w:rFonts w:hint="eastAsia"/>
          <w:sz w:val="15"/>
          <w:szCs w:val="15"/>
          <w:lang w:val="en-US" w:eastAsia="zh-CN"/>
        </w:rPr>
        <w:t>冀A910AD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