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胡会朝</w:t>
      </w:r>
      <w:r>
        <w:rPr>
          <w:rFonts w:hint="eastAsia"/>
          <w:sz w:val="15"/>
          <w:szCs w:val="15"/>
          <w:highlight w:val="none"/>
        </w:rPr>
        <w:t>，</w:t>
      </w:r>
      <w:r>
        <w:rPr>
          <w:rFonts w:hint="eastAsia"/>
          <w:sz w:val="15"/>
          <w:szCs w:val="15"/>
          <w:highlight w:val="none"/>
          <w:lang w:val="en-US" w:eastAsia="zh-CN"/>
        </w:rPr>
        <w:t>130131198304293638</w:t>
      </w:r>
      <w:r>
        <w:rPr>
          <w:rFonts w:hint="eastAsia"/>
          <w:sz w:val="15"/>
          <w:szCs w:val="15"/>
        </w:rPr>
        <w:t xml:space="preserve">  </w:t>
      </w:r>
      <w:r>
        <w:rPr>
          <w:rFonts w:hint="eastAsia"/>
          <w:sz w:val="15"/>
          <w:szCs w:val="15"/>
          <w:lang w:val="en-US" w:eastAsia="zh-CN"/>
        </w:rPr>
        <w:t>冀A2536Y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