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张靖</w:t>
      </w:r>
      <w:r>
        <w:rPr>
          <w:rFonts w:hint="eastAsia"/>
          <w:sz w:val="15"/>
          <w:szCs w:val="15"/>
          <w:highlight w:val="none"/>
        </w:rPr>
        <w:t>，</w:t>
      </w:r>
      <w:r>
        <w:rPr>
          <w:rFonts w:hint="eastAsia"/>
          <w:sz w:val="15"/>
          <w:szCs w:val="15"/>
          <w:highlight w:val="none"/>
          <w:lang w:val="en-US" w:eastAsia="zh-CN"/>
        </w:rPr>
        <w:t>130131198303150029</w:t>
      </w:r>
      <w:r>
        <w:rPr>
          <w:rFonts w:hint="eastAsia"/>
          <w:sz w:val="15"/>
          <w:szCs w:val="15"/>
        </w:rPr>
        <w:t xml:space="preserve">  </w:t>
      </w:r>
      <w:r>
        <w:rPr>
          <w:rFonts w:hint="eastAsia"/>
          <w:sz w:val="15"/>
          <w:szCs w:val="15"/>
          <w:lang w:val="en-US" w:eastAsia="zh-CN"/>
        </w:rPr>
        <w:t>冀AP2877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