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曹进刚</w:t>
      </w:r>
      <w:r>
        <w:rPr>
          <w:rFonts w:hint="eastAsia"/>
          <w:sz w:val="15"/>
          <w:szCs w:val="15"/>
          <w:highlight w:val="none"/>
        </w:rPr>
        <w:t>，</w:t>
      </w:r>
      <w:r>
        <w:rPr>
          <w:rFonts w:hint="eastAsia"/>
          <w:sz w:val="15"/>
          <w:szCs w:val="15"/>
          <w:highlight w:val="none"/>
          <w:lang w:val="en-US" w:eastAsia="zh-CN"/>
        </w:rPr>
        <w:t>130131198302171514</w:t>
      </w:r>
      <w:r>
        <w:rPr>
          <w:rFonts w:hint="eastAsia"/>
          <w:sz w:val="15"/>
          <w:szCs w:val="15"/>
        </w:rPr>
        <w:t xml:space="preserve">  </w:t>
      </w:r>
      <w:r>
        <w:rPr>
          <w:rFonts w:hint="eastAsia"/>
          <w:sz w:val="15"/>
          <w:szCs w:val="15"/>
          <w:lang w:val="en-US" w:eastAsia="zh-CN"/>
        </w:rPr>
        <w:t>冀AK8941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