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张卫刚</w:t>
      </w:r>
      <w:r>
        <w:rPr>
          <w:rFonts w:hint="eastAsia"/>
          <w:sz w:val="15"/>
          <w:szCs w:val="15"/>
          <w:highlight w:val="none"/>
        </w:rPr>
        <w:t>，</w:t>
      </w:r>
      <w:r>
        <w:rPr>
          <w:rFonts w:hint="eastAsia"/>
          <w:sz w:val="15"/>
          <w:szCs w:val="15"/>
          <w:highlight w:val="none"/>
          <w:lang w:val="en-US" w:eastAsia="zh-CN"/>
        </w:rPr>
        <w:t>130131198212123914</w:t>
      </w:r>
      <w:r>
        <w:rPr>
          <w:rFonts w:hint="eastAsia"/>
          <w:sz w:val="15"/>
          <w:szCs w:val="15"/>
        </w:rPr>
        <w:t xml:space="preserve">  </w:t>
      </w:r>
      <w:r>
        <w:rPr>
          <w:rFonts w:hint="eastAsia"/>
          <w:sz w:val="15"/>
          <w:szCs w:val="15"/>
          <w:lang w:val="en-US" w:eastAsia="zh-CN"/>
        </w:rPr>
        <w:t>沪A70605D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