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任素建</w:t>
      </w:r>
      <w:r>
        <w:rPr>
          <w:rFonts w:hint="eastAsia"/>
          <w:sz w:val="15"/>
          <w:szCs w:val="15"/>
          <w:highlight w:val="none"/>
        </w:rPr>
        <w:t>，</w:t>
      </w:r>
      <w:r>
        <w:rPr>
          <w:rFonts w:hint="eastAsia"/>
          <w:sz w:val="15"/>
          <w:szCs w:val="15"/>
          <w:highlight w:val="none"/>
          <w:lang w:val="en-US" w:eastAsia="zh-CN"/>
        </w:rPr>
        <w:t>130131198210133959</w:t>
      </w:r>
      <w:r>
        <w:rPr>
          <w:rFonts w:hint="eastAsia"/>
          <w:sz w:val="15"/>
          <w:szCs w:val="15"/>
        </w:rPr>
        <w:t xml:space="preserve">  </w:t>
      </w:r>
      <w:r>
        <w:rPr>
          <w:rFonts w:hint="eastAsia"/>
          <w:sz w:val="15"/>
          <w:szCs w:val="15"/>
          <w:lang w:val="en-US" w:eastAsia="zh-CN"/>
        </w:rPr>
        <w:t>冀AYN690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