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周成亮</w:t>
      </w:r>
      <w:r>
        <w:rPr>
          <w:rFonts w:hint="eastAsia"/>
          <w:sz w:val="15"/>
          <w:szCs w:val="15"/>
          <w:highlight w:val="none"/>
        </w:rPr>
        <w:t>，</w:t>
      </w:r>
      <w:r>
        <w:rPr>
          <w:rFonts w:hint="eastAsia"/>
          <w:sz w:val="15"/>
          <w:szCs w:val="15"/>
          <w:highlight w:val="none"/>
          <w:lang w:val="en-US" w:eastAsia="zh-CN"/>
        </w:rPr>
        <w:t>130131198209111218</w:t>
      </w:r>
      <w:r>
        <w:rPr>
          <w:rFonts w:hint="eastAsia"/>
          <w:sz w:val="15"/>
          <w:szCs w:val="15"/>
        </w:rPr>
        <w:t xml:space="preserve">  </w:t>
      </w:r>
      <w:r>
        <w:rPr>
          <w:rFonts w:hint="eastAsia"/>
          <w:sz w:val="15"/>
          <w:szCs w:val="15"/>
          <w:lang w:val="en-US" w:eastAsia="zh-CN"/>
        </w:rPr>
        <w:t>冀A82807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