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王从来</w:t>
      </w:r>
      <w:r>
        <w:rPr>
          <w:rFonts w:hint="eastAsia"/>
          <w:sz w:val="15"/>
          <w:szCs w:val="15"/>
          <w:highlight w:val="none"/>
        </w:rPr>
        <w:t>，</w:t>
      </w:r>
      <w:r>
        <w:rPr>
          <w:rFonts w:hint="eastAsia"/>
          <w:sz w:val="15"/>
          <w:szCs w:val="15"/>
          <w:highlight w:val="none"/>
          <w:lang w:val="en-US" w:eastAsia="zh-CN"/>
        </w:rPr>
        <w:t>130131196503251810</w:t>
      </w:r>
      <w:r>
        <w:rPr>
          <w:rFonts w:hint="eastAsia"/>
          <w:sz w:val="15"/>
          <w:szCs w:val="15"/>
        </w:rPr>
        <w:t xml:space="preserve">  </w:t>
      </w:r>
      <w:r>
        <w:rPr>
          <w:rFonts w:hint="eastAsia"/>
          <w:sz w:val="15"/>
          <w:szCs w:val="15"/>
          <w:lang w:val="en-US" w:eastAsia="zh-CN"/>
        </w:rPr>
        <w:t>冀A306E4</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