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朱晓凯</w:t>
      </w:r>
      <w:r>
        <w:rPr>
          <w:rFonts w:hint="eastAsia"/>
          <w:sz w:val="15"/>
          <w:szCs w:val="15"/>
          <w:highlight w:val="none"/>
        </w:rPr>
        <w:t>，</w:t>
      </w:r>
      <w:r>
        <w:rPr>
          <w:rFonts w:hint="eastAsia"/>
          <w:sz w:val="15"/>
          <w:szCs w:val="15"/>
          <w:highlight w:val="none"/>
          <w:lang w:val="en-US" w:eastAsia="zh-CN"/>
        </w:rPr>
        <w:t>130126199812152712</w:t>
      </w:r>
      <w:r>
        <w:rPr>
          <w:rFonts w:hint="eastAsia"/>
          <w:sz w:val="15"/>
          <w:szCs w:val="15"/>
        </w:rPr>
        <w:t xml:space="preserve">  </w:t>
      </w:r>
      <w:r>
        <w:rPr>
          <w:rFonts w:hint="eastAsia"/>
          <w:sz w:val="15"/>
          <w:szCs w:val="15"/>
          <w:lang w:val="en-US" w:eastAsia="zh-CN"/>
        </w:rPr>
        <w:t>冀A7556Z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