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陈佳慧</w:t>
      </w:r>
      <w:r>
        <w:rPr>
          <w:rFonts w:hint="eastAsia"/>
          <w:sz w:val="15"/>
          <w:szCs w:val="15"/>
          <w:highlight w:val="none"/>
        </w:rPr>
        <w:t>，</w:t>
      </w:r>
      <w:r>
        <w:rPr>
          <w:rFonts w:hint="eastAsia"/>
          <w:sz w:val="15"/>
          <w:szCs w:val="15"/>
          <w:highlight w:val="none"/>
          <w:lang w:val="en-US" w:eastAsia="zh-CN"/>
        </w:rPr>
        <w:t>130126199808090328</w:t>
      </w:r>
      <w:r>
        <w:rPr>
          <w:rFonts w:hint="eastAsia"/>
          <w:sz w:val="15"/>
          <w:szCs w:val="15"/>
        </w:rPr>
        <w:t xml:space="preserve">  </w:t>
      </w:r>
      <w:r>
        <w:rPr>
          <w:rFonts w:hint="eastAsia"/>
          <w:sz w:val="15"/>
          <w:szCs w:val="15"/>
          <w:lang w:val="en-US" w:eastAsia="zh-CN"/>
        </w:rPr>
        <w:t>冀AL6400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