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苏小刚</w:t>
      </w:r>
      <w:r>
        <w:rPr>
          <w:rFonts w:hint="eastAsia"/>
          <w:sz w:val="15"/>
          <w:szCs w:val="15"/>
          <w:highlight w:val="none"/>
        </w:rPr>
        <w:t>，</w:t>
      </w:r>
      <w:r>
        <w:rPr>
          <w:rFonts w:hint="eastAsia"/>
          <w:sz w:val="15"/>
          <w:szCs w:val="15"/>
          <w:highlight w:val="none"/>
          <w:lang w:val="en-US" w:eastAsia="zh-CN"/>
        </w:rPr>
        <w:t>130126199503143011</w:t>
      </w:r>
      <w:r>
        <w:rPr>
          <w:rFonts w:hint="eastAsia"/>
          <w:sz w:val="15"/>
          <w:szCs w:val="15"/>
        </w:rPr>
        <w:t xml:space="preserve">  </w:t>
      </w:r>
      <w:r>
        <w:rPr>
          <w:rFonts w:hint="eastAsia"/>
          <w:sz w:val="15"/>
          <w:szCs w:val="15"/>
          <w:lang w:val="en-US" w:eastAsia="zh-CN"/>
        </w:rPr>
        <w:t>冀A44651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