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张建辉</w:t>
      </w:r>
      <w:r>
        <w:rPr>
          <w:rFonts w:hint="eastAsia"/>
          <w:sz w:val="15"/>
          <w:szCs w:val="15"/>
          <w:highlight w:val="none"/>
        </w:rPr>
        <w:t>，</w:t>
      </w:r>
      <w:r>
        <w:rPr>
          <w:rFonts w:hint="eastAsia"/>
          <w:sz w:val="15"/>
          <w:szCs w:val="15"/>
          <w:highlight w:val="none"/>
          <w:lang w:val="en-US" w:eastAsia="zh-CN"/>
        </w:rPr>
        <w:t>130126199304110612</w:t>
      </w:r>
      <w:r>
        <w:rPr>
          <w:rFonts w:hint="eastAsia"/>
          <w:sz w:val="15"/>
          <w:szCs w:val="15"/>
        </w:rPr>
        <w:t xml:space="preserve">  </w:t>
      </w:r>
      <w:r>
        <w:rPr>
          <w:rFonts w:hint="eastAsia"/>
          <w:sz w:val="15"/>
          <w:szCs w:val="15"/>
          <w:lang w:val="en-US" w:eastAsia="zh-CN"/>
        </w:rPr>
        <w:t>冀AK5398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