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李斌</w:t>
      </w:r>
      <w:r>
        <w:rPr>
          <w:rFonts w:hint="eastAsia"/>
          <w:sz w:val="15"/>
          <w:szCs w:val="15"/>
          <w:highlight w:val="none"/>
        </w:rPr>
        <w:t>，</w:t>
      </w:r>
      <w:r>
        <w:rPr>
          <w:rFonts w:hint="eastAsia"/>
          <w:sz w:val="15"/>
          <w:szCs w:val="15"/>
          <w:highlight w:val="none"/>
          <w:lang w:val="en-US" w:eastAsia="zh-CN"/>
        </w:rPr>
        <w:t>130126199008020612</w:t>
      </w:r>
      <w:r>
        <w:rPr>
          <w:rFonts w:hint="eastAsia"/>
          <w:sz w:val="15"/>
          <w:szCs w:val="15"/>
        </w:rPr>
        <w:t xml:space="preserve">  </w:t>
      </w:r>
      <w:r>
        <w:rPr>
          <w:rFonts w:hint="eastAsia"/>
          <w:sz w:val="15"/>
          <w:szCs w:val="15"/>
          <w:lang w:val="en-US" w:eastAsia="zh-CN"/>
        </w:rPr>
        <w:t>冀A145AP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