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张宇航</w:t>
      </w:r>
      <w:r>
        <w:rPr>
          <w:rFonts w:hint="eastAsia"/>
          <w:sz w:val="15"/>
          <w:szCs w:val="15"/>
          <w:highlight w:val="none"/>
        </w:rPr>
        <w:t>，</w:t>
      </w:r>
      <w:r>
        <w:rPr>
          <w:rFonts w:hint="eastAsia"/>
          <w:sz w:val="15"/>
          <w:szCs w:val="15"/>
          <w:highlight w:val="none"/>
          <w:lang w:val="en-US" w:eastAsia="zh-CN"/>
        </w:rPr>
        <w:t>130126198912241814</w:t>
      </w:r>
      <w:r>
        <w:rPr>
          <w:rFonts w:hint="eastAsia"/>
          <w:sz w:val="15"/>
          <w:szCs w:val="15"/>
        </w:rPr>
        <w:t xml:space="preserve">  </w:t>
      </w:r>
      <w:r>
        <w:rPr>
          <w:rFonts w:hint="eastAsia"/>
          <w:sz w:val="15"/>
          <w:szCs w:val="15"/>
          <w:lang w:val="en-US" w:eastAsia="zh-CN"/>
        </w:rPr>
        <w:t>冀A169TA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