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周兴隆</w:t>
      </w:r>
      <w:r>
        <w:rPr>
          <w:rFonts w:hint="eastAsia"/>
          <w:sz w:val="15"/>
          <w:szCs w:val="15"/>
          <w:highlight w:val="none"/>
        </w:rPr>
        <w:t>，</w:t>
      </w:r>
      <w:r>
        <w:rPr>
          <w:rFonts w:hint="eastAsia"/>
          <w:sz w:val="15"/>
          <w:szCs w:val="15"/>
          <w:highlight w:val="none"/>
          <w:lang w:val="en-US" w:eastAsia="zh-CN"/>
        </w:rPr>
        <w:t>130126198905222113</w:t>
      </w:r>
      <w:r>
        <w:rPr>
          <w:rFonts w:hint="eastAsia"/>
          <w:sz w:val="15"/>
          <w:szCs w:val="15"/>
        </w:rPr>
        <w:t xml:space="preserve">  </w:t>
      </w:r>
      <w:r>
        <w:rPr>
          <w:rFonts w:hint="eastAsia"/>
          <w:sz w:val="15"/>
          <w:szCs w:val="15"/>
          <w:lang w:val="en-US" w:eastAsia="zh-CN"/>
        </w:rPr>
        <w:t>冀A43560D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