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赵龙</w:t>
      </w:r>
      <w:r>
        <w:rPr>
          <w:rFonts w:hint="eastAsia"/>
          <w:sz w:val="15"/>
          <w:szCs w:val="15"/>
          <w:highlight w:val="none"/>
        </w:rPr>
        <w:t>，</w:t>
      </w:r>
      <w:r>
        <w:rPr>
          <w:rFonts w:hint="eastAsia"/>
          <w:sz w:val="15"/>
          <w:szCs w:val="15"/>
          <w:highlight w:val="none"/>
          <w:lang w:val="en-US" w:eastAsia="zh-CN"/>
        </w:rPr>
        <w:t>130126198904190316</w:t>
      </w:r>
      <w:r>
        <w:rPr>
          <w:rFonts w:hint="eastAsia"/>
          <w:sz w:val="15"/>
          <w:szCs w:val="15"/>
        </w:rPr>
        <w:t xml:space="preserve">  </w:t>
      </w:r>
      <w:r>
        <w:rPr>
          <w:rFonts w:hint="eastAsia"/>
          <w:sz w:val="15"/>
          <w:szCs w:val="15"/>
          <w:lang w:val="en-US" w:eastAsia="zh-CN"/>
        </w:rPr>
        <w:t>冀AD2615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