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秘志彭</w:t>
      </w:r>
      <w:r>
        <w:rPr>
          <w:rFonts w:hint="eastAsia"/>
          <w:sz w:val="15"/>
          <w:szCs w:val="15"/>
          <w:highlight w:val="none"/>
        </w:rPr>
        <w:t>，</w:t>
      </w:r>
      <w:r>
        <w:rPr>
          <w:rFonts w:hint="eastAsia"/>
          <w:sz w:val="15"/>
          <w:szCs w:val="15"/>
          <w:highlight w:val="none"/>
          <w:lang w:val="en-US" w:eastAsia="zh-CN"/>
        </w:rPr>
        <w:t>130126198904082737</w:t>
      </w:r>
      <w:r>
        <w:rPr>
          <w:rFonts w:hint="eastAsia"/>
          <w:sz w:val="15"/>
          <w:szCs w:val="15"/>
        </w:rPr>
        <w:t xml:space="preserve">  </w:t>
      </w:r>
      <w:r>
        <w:rPr>
          <w:rFonts w:hint="eastAsia"/>
          <w:sz w:val="15"/>
          <w:szCs w:val="15"/>
          <w:lang w:val="en-US" w:eastAsia="zh-CN"/>
        </w:rPr>
        <w:t>冀AU3332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