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栗龙</w:t>
      </w:r>
      <w:r>
        <w:rPr>
          <w:rFonts w:hint="eastAsia"/>
          <w:sz w:val="15"/>
          <w:szCs w:val="15"/>
          <w:highlight w:val="none"/>
        </w:rPr>
        <w:t>，</w:t>
      </w:r>
      <w:r>
        <w:rPr>
          <w:rFonts w:hint="eastAsia"/>
          <w:sz w:val="15"/>
          <w:szCs w:val="15"/>
          <w:highlight w:val="none"/>
          <w:lang w:val="en-US" w:eastAsia="zh-CN"/>
        </w:rPr>
        <w:t>130126198811142737</w:t>
      </w:r>
      <w:r>
        <w:rPr>
          <w:rFonts w:hint="eastAsia"/>
          <w:sz w:val="15"/>
          <w:szCs w:val="15"/>
        </w:rPr>
        <w:t xml:space="preserve">  </w:t>
      </w:r>
      <w:r>
        <w:rPr>
          <w:rFonts w:hint="eastAsia"/>
          <w:sz w:val="15"/>
          <w:szCs w:val="15"/>
          <w:lang w:val="en-US" w:eastAsia="zh-CN"/>
        </w:rPr>
        <w:t>冀AGM137</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