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祁豪豪</w:t>
      </w:r>
      <w:r>
        <w:rPr>
          <w:rFonts w:hint="eastAsia"/>
          <w:sz w:val="15"/>
          <w:szCs w:val="15"/>
          <w:highlight w:val="none"/>
        </w:rPr>
        <w:t>，</w:t>
      </w:r>
      <w:r>
        <w:rPr>
          <w:rFonts w:hint="eastAsia"/>
          <w:sz w:val="15"/>
          <w:szCs w:val="15"/>
          <w:highlight w:val="none"/>
          <w:lang w:val="en-US" w:eastAsia="zh-CN"/>
        </w:rPr>
        <w:t>130126198810272134</w:t>
      </w:r>
      <w:r>
        <w:rPr>
          <w:rFonts w:hint="eastAsia"/>
          <w:sz w:val="15"/>
          <w:szCs w:val="15"/>
        </w:rPr>
        <w:t xml:space="preserve">  </w:t>
      </w:r>
      <w:r>
        <w:rPr>
          <w:rFonts w:hint="eastAsia"/>
          <w:sz w:val="15"/>
          <w:szCs w:val="15"/>
          <w:lang w:val="en-US" w:eastAsia="zh-CN"/>
        </w:rPr>
        <w:t>冀A47J45</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