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韩春钊</w:t>
      </w:r>
      <w:r>
        <w:rPr>
          <w:rFonts w:hint="eastAsia"/>
          <w:sz w:val="15"/>
          <w:szCs w:val="15"/>
          <w:highlight w:val="none"/>
        </w:rPr>
        <w:t>，</w:t>
      </w:r>
      <w:r>
        <w:rPr>
          <w:rFonts w:hint="eastAsia"/>
          <w:sz w:val="15"/>
          <w:szCs w:val="15"/>
          <w:highlight w:val="none"/>
          <w:lang w:val="en-US" w:eastAsia="zh-CN"/>
        </w:rPr>
        <w:t>130126198809160311</w:t>
      </w:r>
      <w:r>
        <w:rPr>
          <w:rFonts w:hint="eastAsia"/>
          <w:sz w:val="15"/>
          <w:szCs w:val="15"/>
        </w:rPr>
        <w:t xml:space="preserve">  </w:t>
      </w:r>
      <w:r>
        <w:rPr>
          <w:rFonts w:hint="eastAsia"/>
          <w:sz w:val="15"/>
          <w:szCs w:val="15"/>
          <w:lang w:val="en-US" w:eastAsia="zh-CN"/>
        </w:rPr>
        <w:t>沪A20577A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