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宋晓雷</w:t>
      </w:r>
      <w:r>
        <w:rPr>
          <w:rFonts w:hint="eastAsia"/>
          <w:sz w:val="15"/>
          <w:szCs w:val="15"/>
          <w:highlight w:val="none"/>
        </w:rPr>
        <w:t>，</w:t>
      </w:r>
      <w:r>
        <w:rPr>
          <w:rFonts w:hint="eastAsia"/>
          <w:sz w:val="15"/>
          <w:szCs w:val="15"/>
          <w:highlight w:val="none"/>
          <w:lang w:val="en-US" w:eastAsia="zh-CN"/>
        </w:rPr>
        <w:t>130126198805283031</w:t>
      </w:r>
      <w:r>
        <w:rPr>
          <w:rFonts w:hint="eastAsia"/>
          <w:sz w:val="15"/>
          <w:szCs w:val="15"/>
        </w:rPr>
        <w:t xml:space="preserve">  </w:t>
      </w:r>
      <w:r>
        <w:rPr>
          <w:rFonts w:hint="eastAsia"/>
          <w:sz w:val="15"/>
          <w:szCs w:val="15"/>
          <w:lang w:val="en-US" w:eastAsia="zh-CN"/>
        </w:rPr>
        <w:t>冀A41999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