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左燕峰</w:t>
      </w:r>
      <w:r>
        <w:rPr>
          <w:rFonts w:hint="eastAsia"/>
          <w:sz w:val="15"/>
          <w:szCs w:val="15"/>
          <w:highlight w:val="none"/>
        </w:rPr>
        <w:t>，</w:t>
      </w:r>
      <w:r>
        <w:rPr>
          <w:rFonts w:hint="eastAsia"/>
          <w:sz w:val="15"/>
          <w:szCs w:val="15"/>
          <w:highlight w:val="none"/>
          <w:lang w:val="en-US" w:eastAsia="zh-CN"/>
        </w:rPr>
        <w:t>130126198709193917</w:t>
      </w:r>
      <w:r>
        <w:rPr>
          <w:rFonts w:hint="eastAsia"/>
          <w:sz w:val="15"/>
          <w:szCs w:val="15"/>
        </w:rPr>
        <w:t xml:space="preserve">  </w:t>
      </w:r>
      <w:r>
        <w:rPr>
          <w:rFonts w:hint="eastAsia"/>
          <w:sz w:val="15"/>
          <w:szCs w:val="15"/>
          <w:lang w:val="en-US" w:eastAsia="zh-CN"/>
        </w:rPr>
        <w:t>冀A1621V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