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金英彬</w:t>
      </w:r>
      <w:r>
        <w:rPr>
          <w:rFonts w:hint="eastAsia"/>
          <w:sz w:val="15"/>
          <w:szCs w:val="15"/>
          <w:highlight w:val="none"/>
        </w:rPr>
        <w:t>，</w:t>
      </w:r>
      <w:r>
        <w:rPr>
          <w:rFonts w:hint="eastAsia"/>
          <w:sz w:val="15"/>
          <w:szCs w:val="15"/>
          <w:highlight w:val="none"/>
          <w:lang w:val="en-US" w:eastAsia="zh-CN"/>
        </w:rPr>
        <w:t>130126198707253058</w:t>
      </w:r>
      <w:r>
        <w:rPr>
          <w:rFonts w:hint="eastAsia"/>
          <w:sz w:val="15"/>
          <w:szCs w:val="15"/>
        </w:rPr>
        <w:t xml:space="preserve">  </w:t>
      </w:r>
      <w:r>
        <w:rPr>
          <w:rFonts w:hint="eastAsia"/>
          <w:sz w:val="15"/>
          <w:szCs w:val="15"/>
          <w:lang w:val="en-US" w:eastAsia="zh-CN"/>
        </w:rPr>
        <w:t>冀AX6698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