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王新勇</w:t>
      </w:r>
      <w:r>
        <w:rPr>
          <w:rFonts w:hint="eastAsia"/>
          <w:sz w:val="15"/>
          <w:szCs w:val="15"/>
          <w:highlight w:val="none"/>
        </w:rPr>
        <w:t>，</w:t>
      </w:r>
      <w:r>
        <w:rPr>
          <w:rFonts w:hint="eastAsia"/>
          <w:sz w:val="15"/>
          <w:szCs w:val="15"/>
          <w:highlight w:val="none"/>
          <w:lang w:val="en-US" w:eastAsia="zh-CN"/>
        </w:rPr>
        <w:t>130126198706100615</w:t>
      </w:r>
      <w:r>
        <w:rPr>
          <w:rFonts w:hint="eastAsia"/>
          <w:sz w:val="15"/>
          <w:szCs w:val="15"/>
        </w:rPr>
        <w:t xml:space="preserve">  </w:t>
      </w:r>
      <w:r>
        <w:rPr>
          <w:rFonts w:hint="eastAsia"/>
          <w:sz w:val="15"/>
          <w:szCs w:val="15"/>
          <w:lang w:val="en-US" w:eastAsia="zh-CN"/>
        </w:rPr>
        <w:t>冀A40789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