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马艳志</w:t>
      </w:r>
      <w:r>
        <w:rPr>
          <w:rFonts w:hint="eastAsia"/>
          <w:sz w:val="15"/>
          <w:szCs w:val="15"/>
          <w:highlight w:val="none"/>
        </w:rPr>
        <w:t>，</w:t>
      </w:r>
      <w:r>
        <w:rPr>
          <w:rFonts w:hint="eastAsia"/>
          <w:sz w:val="15"/>
          <w:szCs w:val="15"/>
          <w:highlight w:val="none"/>
          <w:lang w:val="en-US" w:eastAsia="zh-CN"/>
        </w:rPr>
        <w:t>130126198705243016</w:t>
      </w:r>
      <w:r>
        <w:rPr>
          <w:rFonts w:hint="eastAsia"/>
          <w:sz w:val="15"/>
          <w:szCs w:val="15"/>
        </w:rPr>
        <w:t xml:space="preserve">  </w:t>
      </w:r>
      <w:r>
        <w:rPr>
          <w:rFonts w:hint="eastAsia"/>
          <w:sz w:val="15"/>
          <w:szCs w:val="15"/>
          <w:lang w:val="en-US" w:eastAsia="zh-CN"/>
        </w:rPr>
        <w:t>冀A69W86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