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赵强</w:t>
      </w:r>
      <w:r>
        <w:rPr>
          <w:rFonts w:hint="eastAsia"/>
          <w:sz w:val="15"/>
          <w:szCs w:val="15"/>
          <w:highlight w:val="none"/>
        </w:rPr>
        <w:t>，</w:t>
      </w:r>
      <w:r>
        <w:rPr>
          <w:rFonts w:hint="eastAsia"/>
          <w:sz w:val="15"/>
          <w:szCs w:val="15"/>
          <w:highlight w:val="none"/>
          <w:lang w:val="en-US" w:eastAsia="zh-CN"/>
        </w:rPr>
        <w:t>130126198512180311</w:t>
      </w:r>
      <w:r>
        <w:rPr>
          <w:rFonts w:hint="eastAsia"/>
          <w:sz w:val="15"/>
          <w:szCs w:val="15"/>
        </w:rPr>
        <w:t xml:space="preserve">  </w:t>
      </w:r>
      <w:r>
        <w:rPr>
          <w:rFonts w:hint="eastAsia"/>
          <w:sz w:val="15"/>
          <w:szCs w:val="15"/>
          <w:lang w:val="en-US" w:eastAsia="zh-CN"/>
        </w:rPr>
        <w:t>冀A02612D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