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聂艳辉</w:t>
      </w:r>
      <w:r>
        <w:rPr>
          <w:rFonts w:hint="eastAsia"/>
          <w:sz w:val="15"/>
          <w:szCs w:val="15"/>
          <w:highlight w:val="none"/>
        </w:rPr>
        <w:t>，</w:t>
      </w:r>
      <w:r>
        <w:rPr>
          <w:rFonts w:hint="eastAsia"/>
          <w:sz w:val="15"/>
          <w:szCs w:val="15"/>
          <w:highlight w:val="none"/>
          <w:lang w:val="en-US" w:eastAsia="zh-CN"/>
        </w:rPr>
        <w:t>130126198408220619</w:t>
      </w:r>
      <w:r>
        <w:rPr>
          <w:rFonts w:hint="eastAsia"/>
          <w:sz w:val="15"/>
          <w:szCs w:val="15"/>
        </w:rPr>
        <w:t xml:space="preserve">  </w:t>
      </w:r>
      <w:r>
        <w:rPr>
          <w:rFonts w:hint="eastAsia"/>
          <w:sz w:val="15"/>
          <w:szCs w:val="15"/>
          <w:lang w:val="en-US" w:eastAsia="zh-CN"/>
        </w:rPr>
        <w:t>冀A3N544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