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刘志勇</w:t>
      </w:r>
      <w:r>
        <w:rPr>
          <w:rFonts w:hint="eastAsia"/>
          <w:sz w:val="15"/>
          <w:szCs w:val="15"/>
          <w:highlight w:val="none"/>
        </w:rPr>
        <w:t>，</w:t>
      </w:r>
      <w:r>
        <w:rPr>
          <w:rFonts w:hint="eastAsia"/>
          <w:sz w:val="15"/>
          <w:szCs w:val="15"/>
          <w:highlight w:val="none"/>
          <w:lang w:val="en-US" w:eastAsia="zh-CN"/>
        </w:rPr>
        <w:t>130126198403133014</w:t>
      </w:r>
      <w:r>
        <w:rPr>
          <w:rFonts w:hint="eastAsia"/>
          <w:sz w:val="15"/>
          <w:szCs w:val="15"/>
        </w:rPr>
        <w:t xml:space="preserve">  </w:t>
      </w:r>
      <w:r>
        <w:rPr>
          <w:rFonts w:hint="eastAsia"/>
          <w:sz w:val="15"/>
          <w:szCs w:val="15"/>
          <w:lang w:val="en-US" w:eastAsia="zh-CN"/>
        </w:rPr>
        <w:t>冀AY0555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