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刘春洁</w:t>
      </w:r>
      <w:r>
        <w:rPr>
          <w:rFonts w:hint="eastAsia"/>
          <w:sz w:val="15"/>
          <w:szCs w:val="15"/>
          <w:highlight w:val="none"/>
        </w:rPr>
        <w:t>，</w:t>
      </w:r>
      <w:r>
        <w:rPr>
          <w:rFonts w:hint="eastAsia"/>
          <w:sz w:val="15"/>
          <w:szCs w:val="15"/>
          <w:highlight w:val="none"/>
          <w:lang w:val="en-US" w:eastAsia="zh-CN"/>
        </w:rPr>
        <w:t>130126198402150947</w:t>
      </w:r>
      <w:r>
        <w:rPr>
          <w:rFonts w:hint="eastAsia"/>
          <w:sz w:val="15"/>
          <w:szCs w:val="15"/>
        </w:rPr>
        <w:t xml:space="preserve">  </w:t>
      </w:r>
      <w:r>
        <w:rPr>
          <w:rFonts w:hint="eastAsia"/>
          <w:sz w:val="15"/>
          <w:szCs w:val="15"/>
          <w:lang w:val="en-US" w:eastAsia="zh-CN"/>
        </w:rPr>
        <w:t>冀AF5508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