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张鲁焦</w:t>
      </w:r>
      <w:r>
        <w:rPr>
          <w:rFonts w:hint="eastAsia"/>
          <w:sz w:val="15"/>
          <w:szCs w:val="15"/>
          <w:highlight w:val="none"/>
        </w:rPr>
        <w:t>，</w:t>
      </w:r>
      <w:r>
        <w:rPr>
          <w:rFonts w:hint="eastAsia"/>
          <w:sz w:val="15"/>
          <w:szCs w:val="15"/>
          <w:highlight w:val="none"/>
          <w:lang w:val="en-US" w:eastAsia="zh-CN"/>
        </w:rPr>
        <w:t>130126198207153034</w:t>
      </w:r>
      <w:r>
        <w:rPr>
          <w:rFonts w:hint="eastAsia"/>
          <w:sz w:val="15"/>
          <w:szCs w:val="15"/>
        </w:rPr>
        <w:t xml:space="preserve">  </w:t>
      </w:r>
      <w:r>
        <w:rPr>
          <w:rFonts w:hint="eastAsia"/>
          <w:sz w:val="15"/>
          <w:szCs w:val="15"/>
          <w:lang w:val="en-US" w:eastAsia="zh-CN"/>
        </w:rPr>
        <w:t>冀A73277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