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耿一菲</w:t>
      </w:r>
      <w:r>
        <w:rPr>
          <w:rFonts w:hint="eastAsia"/>
          <w:sz w:val="15"/>
          <w:szCs w:val="15"/>
          <w:highlight w:val="none"/>
        </w:rPr>
        <w:t>，</w:t>
      </w:r>
      <w:r>
        <w:rPr>
          <w:rFonts w:hint="eastAsia"/>
          <w:sz w:val="15"/>
          <w:szCs w:val="15"/>
          <w:highlight w:val="none"/>
          <w:lang w:val="en-US" w:eastAsia="zh-CN"/>
        </w:rPr>
        <w:t>130125200801230024</w:t>
      </w:r>
      <w:r>
        <w:rPr>
          <w:rFonts w:hint="eastAsia"/>
          <w:sz w:val="15"/>
          <w:szCs w:val="15"/>
        </w:rPr>
        <w:t xml:space="preserve">  </w:t>
      </w:r>
      <w:r>
        <w:rPr>
          <w:rFonts w:hint="eastAsia"/>
          <w:sz w:val="15"/>
          <w:szCs w:val="15"/>
          <w:lang w:val="en-US" w:eastAsia="zh-CN"/>
        </w:rPr>
        <w:t>冀AL5996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